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drawing>
          <wp:inline distB="0" distT="0" distL="114300" distR="114300">
            <wp:extent cx="2428875" cy="390525"/>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28875" cy="3905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Arial" w:cs="Arial" w:eastAsia="Arial" w:hAnsi="Arial"/>
        </w:rPr>
      </w:pPr>
      <w:r w:rsidDel="00000000" w:rsidR="00000000" w:rsidRPr="00000000">
        <w:rPr>
          <w:rFonts w:ascii="Arial" w:cs="Arial" w:eastAsia="Arial" w:hAnsi="Arial"/>
          <w:rtl w:val="0"/>
        </w:rPr>
        <w:t xml:space="preserve">Department of Education</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Fonts w:ascii="Arial" w:cs="Arial" w:eastAsia="Arial" w:hAnsi="Arial"/>
          <w:b w:val="1"/>
          <w:rtl w:val="0"/>
        </w:rPr>
        <w:t xml:space="preserve">PGCE MFL Mentors’ Meeting </w:t>
      </w: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Fonts w:ascii="Arial" w:cs="Arial" w:eastAsia="Arial" w:hAnsi="Arial"/>
          <w:rtl w:val="0"/>
        </w:rPr>
        <w:t xml:space="preserve">Wednesday, 9</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February 2022 14:00 - 16:00 </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rFonts w:ascii="Arial" w:cs="Arial" w:eastAsia="Arial" w:hAnsi="Arial"/>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rPr>
      </w:pPr>
      <w:r w:rsidDel="00000000" w:rsidR="00000000" w:rsidRPr="00000000">
        <w:rPr>
          <w:rFonts w:ascii="Arial" w:cs="Arial" w:eastAsia="Arial" w:hAnsi="Arial"/>
          <w:b w:val="1"/>
          <w:rtl w:val="0"/>
        </w:rPr>
        <w:t xml:space="preserve">AGENDA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left="349" w:firstLine="0"/>
        <w:rPr/>
      </w:pPr>
      <w:bookmarkStart w:colFirst="0" w:colLast="0" w:name="_gjdgxs" w:id="0"/>
      <w:bookmarkEnd w:id="0"/>
      <w:r w:rsidDel="00000000" w:rsidR="00000000" w:rsidRPr="00000000">
        <w:rPr>
          <w:rtl w:val="0"/>
        </w:rPr>
      </w:r>
    </w:p>
    <w:p w:rsidR="00000000" w:rsidDel="00000000" w:rsidP="00000000" w:rsidRDefault="00000000" w:rsidRPr="00000000" w14:paraId="0000000E">
      <w:pPr>
        <w:numPr>
          <w:ilvl w:val="0"/>
          <w:numId w:val="5"/>
        </w:numPr>
        <w:spacing w:line="480" w:lineRule="auto"/>
        <w:ind w:left="714" w:hanging="357"/>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Welcome, Apologies &amp; Introductions </w:t>
      </w:r>
    </w:p>
    <w:p w:rsidR="00000000" w:rsidDel="00000000" w:rsidP="00000000" w:rsidRDefault="00000000" w:rsidRPr="00000000" w14:paraId="0000000F">
      <w:pPr>
        <w:numPr>
          <w:ilvl w:val="0"/>
          <w:numId w:val="5"/>
        </w:numPr>
        <w:spacing w:line="480" w:lineRule="auto"/>
        <w:ind w:left="714" w:hanging="357"/>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Review of  Placement 1 </w:t>
      </w:r>
    </w:p>
    <w:p w:rsidR="00000000" w:rsidDel="00000000" w:rsidP="00000000" w:rsidRDefault="00000000" w:rsidRPr="00000000" w14:paraId="00000010">
      <w:pPr>
        <w:numPr>
          <w:ilvl w:val="0"/>
          <w:numId w:val="2"/>
        </w:numPr>
        <w:ind w:left="1080" w:hanging="360"/>
        <w:rPr>
          <w:sz w:val="22"/>
          <w:szCs w:val="22"/>
        </w:rPr>
      </w:pPr>
      <w:r w:rsidDel="00000000" w:rsidR="00000000" w:rsidRPr="00000000">
        <w:rPr>
          <w:rFonts w:ascii="Arial" w:cs="Arial" w:eastAsia="Arial" w:hAnsi="Arial"/>
          <w:sz w:val="22"/>
          <w:szCs w:val="22"/>
          <w:rtl w:val="0"/>
        </w:rPr>
        <w:t xml:space="preserve">Overview of the nature of the trainees experiences (incl. CCF) so far </w:t>
      </w:r>
    </w:p>
    <w:p w:rsidR="00000000" w:rsidDel="00000000" w:rsidP="00000000" w:rsidRDefault="00000000" w:rsidRPr="00000000" w14:paraId="00000011">
      <w:pPr>
        <w:ind w:left="1080" w:firstLine="0"/>
        <w:rPr>
          <w:rFonts w:ascii="Arial" w:cs="Arial" w:eastAsia="Arial" w:hAnsi="Arial"/>
          <w:color w:val="9900ff"/>
          <w:sz w:val="22"/>
          <w:szCs w:val="22"/>
        </w:rPr>
      </w:pPr>
      <w:r w:rsidDel="00000000" w:rsidR="00000000" w:rsidRPr="00000000">
        <w:rPr>
          <w:rFonts w:ascii="Arial" w:cs="Arial" w:eastAsia="Arial" w:hAnsi="Arial"/>
          <w:color w:val="1f497d"/>
          <w:sz w:val="22"/>
          <w:szCs w:val="22"/>
          <w:rtl w:val="0"/>
        </w:rPr>
        <w:t xml:space="preserve">Mentors to be aware of the diversity of experience up until this point</w:t>
      </w:r>
      <w:r w:rsidDel="00000000" w:rsidR="00000000" w:rsidRPr="00000000">
        <w:rPr>
          <w:rtl w:val="0"/>
        </w:rPr>
      </w:r>
    </w:p>
    <w:p w:rsidR="00000000" w:rsidDel="00000000" w:rsidP="00000000" w:rsidRDefault="00000000" w:rsidRPr="00000000" w14:paraId="00000012">
      <w:pPr>
        <w:ind w:left="108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numPr>
          <w:ilvl w:val="0"/>
          <w:numId w:val="2"/>
        </w:numPr>
        <w:ind w:left="1080" w:hanging="360"/>
        <w:rPr>
          <w:sz w:val="22"/>
          <w:szCs w:val="22"/>
        </w:rPr>
      </w:pPr>
      <w:r w:rsidDel="00000000" w:rsidR="00000000" w:rsidRPr="00000000">
        <w:rPr>
          <w:rFonts w:ascii="Arial" w:cs="Arial" w:eastAsia="Arial" w:hAnsi="Arial"/>
          <w:sz w:val="22"/>
          <w:szCs w:val="22"/>
          <w:rtl w:val="0"/>
        </w:rPr>
        <w:t xml:space="preserve">Cohort profile. Mentors to give their input on their first placement trainee; a strength and an area to develop </w:t>
      </w:r>
    </w:p>
    <w:p w:rsidR="00000000" w:rsidDel="00000000" w:rsidP="00000000" w:rsidRDefault="00000000" w:rsidRPr="00000000" w14:paraId="00000014">
      <w:pPr>
        <w:ind w:left="1080" w:firstLine="0"/>
        <w:rPr>
          <w:rFonts w:ascii="Arial" w:cs="Arial" w:eastAsia="Arial" w:hAnsi="Arial"/>
          <w:color w:val="1f497d"/>
          <w:sz w:val="22"/>
          <w:szCs w:val="22"/>
        </w:rPr>
      </w:pPr>
      <w:r w:rsidDel="00000000" w:rsidR="00000000" w:rsidRPr="00000000">
        <w:rPr>
          <w:rFonts w:ascii="Arial" w:cs="Arial" w:eastAsia="Arial" w:hAnsi="Arial"/>
          <w:color w:val="1f497d"/>
          <w:sz w:val="22"/>
          <w:szCs w:val="22"/>
          <w:rtl w:val="0"/>
        </w:rPr>
        <w:t xml:space="preserve">Opportunity to share information and hear about incoming trainee</w:t>
      </w:r>
    </w:p>
    <w:p w:rsidR="00000000" w:rsidDel="00000000" w:rsidP="00000000" w:rsidRDefault="00000000" w:rsidRPr="00000000" w14:paraId="00000015">
      <w:pPr>
        <w:rPr>
          <w:rFonts w:ascii="Arial" w:cs="Arial" w:eastAsia="Arial" w:hAnsi="Arial"/>
          <w:color w:val="9900ff"/>
          <w:sz w:val="22"/>
          <w:szCs w:val="22"/>
        </w:rPr>
      </w:pPr>
      <w:r w:rsidDel="00000000" w:rsidR="00000000" w:rsidRPr="00000000">
        <w:rPr>
          <w:rtl w:val="0"/>
        </w:rPr>
      </w:r>
    </w:p>
    <w:p w:rsidR="00000000" w:rsidDel="00000000" w:rsidP="00000000" w:rsidRDefault="00000000" w:rsidRPr="00000000" w14:paraId="00000016">
      <w:pPr>
        <w:ind w:left="1080" w:firstLine="0"/>
        <w:rPr>
          <w:rFonts w:ascii="Arial" w:cs="Arial" w:eastAsia="Arial" w:hAnsi="Arial"/>
          <w:color w:val="1f497d"/>
          <w:sz w:val="22"/>
          <w:szCs w:val="22"/>
        </w:rPr>
      </w:pPr>
      <w:r w:rsidDel="00000000" w:rsidR="00000000" w:rsidRPr="00000000">
        <w:rPr>
          <w:rFonts w:ascii="Arial" w:cs="Arial" w:eastAsia="Arial" w:hAnsi="Arial"/>
          <w:color w:val="1f497d"/>
          <w:sz w:val="22"/>
          <w:szCs w:val="22"/>
          <w:rtl w:val="0"/>
        </w:rPr>
        <w:t xml:space="preserve">Opportunity to reflect on what the implications are of this information on how to plan the trainee’s second placement (classes, weekly meeting focus, how quickly you can expect them to pick up classes)</w:t>
      </w:r>
    </w:p>
    <w:p w:rsidR="00000000" w:rsidDel="00000000" w:rsidP="00000000" w:rsidRDefault="00000000" w:rsidRPr="00000000" w14:paraId="00000017">
      <w:pPr>
        <w:ind w:left="1440" w:firstLine="0"/>
        <w:rPr>
          <w:rFonts w:ascii="Arial" w:cs="Arial" w:eastAsia="Arial" w:hAnsi="Arial"/>
          <w:color w:val="1f497d"/>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trainees have found helpful in Placement 1</w:t>
      </w:r>
    </w:p>
    <w:p w:rsidR="00000000" w:rsidDel="00000000" w:rsidP="00000000" w:rsidRDefault="00000000" w:rsidRPr="00000000" w14:paraId="00000019">
      <w:pPr>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3. Brief overview of Placement 2 </w:t>
      </w:r>
    </w:p>
    <w:p w:rsidR="00000000" w:rsidDel="00000000" w:rsidP="00000000" w:rsidRDefault="00000000" w:rsidRPr="00000000" w14:paraId="0000001B">
      <w:pPr>
        <w:widowControl w:val="0"/>
        <w:numPr>
          <w:ilvl w:val="0"/>
          <w:numId w:val="1"/>
        </w:numPr>
        <w:ind w:left="1440" w:hanging="360"/>
        <w:rPr>
          <w:sz w:val="22"/>
          <w:szCs w:val="22"/>
        </w:rPr>
      </w:pPr>
      <w:r w:rsidDel="00000000" w:rsidR="00000000" w:rsidRPr="00000000">
        <w:rPr>
          <w:rFonts w:ascii="Arial" w:cs="Arial" w:eastAsia="Arial" w:hAnsi="Arial"/>
          <w:sz w:val="22"/>
          <w:szCs w:val="22"/>
          <w:rtl w:val="0"/>
        </w:rPr>
        <w:t xml:space="preserve">Key dates </w:t>
      </w:r>
    </w:p>
    <w:p w:rsidR="00000000" w:rsidDel="00000000" w:rsidP="00000000" w:rsidRDefault="00000000" w:rsidRPr="00000000" w14:paraId="0000001C">
      <w:pPr>
        <w:widowControl w:val="0"/>
        <w:numPr>
          <w:ilvl w:val="0"/>
          <w:numId w:val="1"/>
        </w:numPr>
        <w:ind w:left="1440" w:hanging="360"/>
        <w:rPr>
          <w:sz w:val="22"/>
          <w:szCs w:val="22"/>
        </w:rPr>
      </w:pPr>
      <w:r w:rsidDel="00000000" w:rsidR="00000000" w:rsidRPr="00000000">
        <w:rPr>
          <w:rFonts w:ascii="Arial" w:cs="Arial" w:eastAsia="Arial" w:hAnsi="Arial"/>
          <w:sz w:val="22"/>
          <w:szCs w:val="22"/>
          <w:rtl w:val="0"/>
        </w:rPr>
        <w:t xml:space="preserve">Assignment 3 (submission date Fri 27/05/2022)</w:t>
      </w:r>
    </w:p>
    <w:p w:rsidR="00000000" w:rsidDel="00000000" w:rsidP="00000000" w:rsidRDefault="00000000" w:rsidRPr="00000000" w14:paraId="0000001D">
      <w:pPr>
        <w:widowControl w:val="0"/>
        <w:numPr>
          <w:ilvl w:val="0"/>
          <w:numId w:val="1"/>
        </w:numPr>
        <w:ind w:left="1440" w:hanging="360"/>
        <w:rPr>
          <w:sz w:val="22"/>
          <w:szCs w:val="22"/>
        </w:rPr>
      </w:pPr>
      <w:r w:rsidDel="00000000" w:rsidR="00000000" w:rsidRPr="00000000">
        <w:rPr>
          <w:rFonts w:ascii="Arial" w:cs="Arial" w:eastAsia="Arial" w:hAnsi="Arial"/>
          <w:sz w:val="22"/>
          <w:szCs w:val="22"/>
          <w:rtl w:val="0"/>
        </w:rPr>
        <w:t xml:space="preserve">Professional enrichment (w/b 06/06 and 13/06/2022)</w:t>
      </w:r>
    </w:p>
    <w:p w:rsidR="00000000" w:rsidDel="00000000" w:rsidP="00000000" w:rsidRDefault="00000000" w:rsidRPr="00000000" w14:paraId="0000001E">
      <w:pPr>
        <w:widowControl w:val="0"/>
        <w:numPr>
          <w:ilvl w:val="0"/>
          <w:numId w:val="1"/>
        </w:numPr>
        <w:ind w:left="1440" w:hanging="360"/>
        <w:rPr>
          <w:sz w:val="22"/>
          <w:szCs w:val="22"/>
        </w:rPr>
      </w:pPr>
      <w:r w:rsidDel="00000000" w:rsidR="00000000" w:rsidRPr="00000000">
        <w:rPr>
          <w:rFonts w:ascii="Arial" w:cs="Arial" w:eastAsia="Arial" w:hAnsi="Arial"/>
          <w:sz w:val="22"/>
          <w:szCs w:val="22"/>
          <w:rtl w:val="0"/>
        </w:rPr>
        <w:t xml:space="preserve">Weekly mentor meetings </w:t>
      </w:r>
    </w:p>
    <w:p w:rsidR="00000000" w:rsidDel="00000000" w:rsidP="00000000" w:rsidRDefault="00000000" w:rsidRPr="00000000" w14:paraId="0000001F">
      <w:pPr>
        <w:widowControl w:val="0"/>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Core Content Framework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Audit for Trainees and Mentors</w:t>
      </w:r>
    </w:p>
    <w:p w:rsidR="00000000" w:rsidDel="00000000" w:rsidP="00000000" w:rsidRDefault="00000000" w:rsidRPr="00000000" w14:paraId="00000021">
      <w:pPr>
        <w:ind w:left="1098"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numPr>
          <w:ilvl w:val="0"/>
          <w:numId w:val="4"/>
        </w:numPr>
        <w:ind w:left="765"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Ofsted Preparation - </w:t>
      </w:r>
      <w:r w:rsidDel="00000000" w:rsidR="00000000" w:rsidRPr="00000000">
        <w:rPr>
          <w:rFonts w:ascii="Arial" w:cs="Arial" w:eastAsia="Arial" w:hAnsi="Arial"/>
          <w:color w:val="17365d"/>
          <w:sz w:val="22"/>
          <w:szCs w:val="22"/>
          <w:rtl w:val="0"/>
        </w:rPr>
        <w:t xml:space="preserve">Key messages (and reassurances) in preparation for an inspection</w:t>
      </w:r>
      <w:r w:rsidDel="00000000" w:rsidR="00000000" w:rsidRPr="00000000">
        <w:rPr>
          <w:rtl w:val="0"/>
        </w:rPr>
      </w:r>
    </w:p>
    <w:p w:rsidR="00000000" w:rsidDel="00000000" w:rsidP="00000000" w:rsidRDefault="00000000" w:rsidRPr="00000000" w14:paraId="00000023">
      <w:pPr>
        <w:ind w:left="729" w:firstLine="0"/>
        <w:rPr>
          <w:rFonts w:ascii="Arial" w:cs="Arial" w:eastAsia="Arial" w:hAnsi="Arial"/>
          <w:color w:val="9900ff"/>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Updates on ITT Market Review and Reaccreditation </w:t>
      </w:r>
    </w:p>
    <w:p w:rsidR="00000000" w:rsidDel="00000000" w:rsidP="00000000" w:rsidRDefault="00000000" w:rsidRPr="00000000" w14:paraId="0000002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Mentor Profile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Changes to GCSE MFL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b w:val="1"/>
          <w:sz w:val="22"/>
          <w:szCs w:val="22"/>
        </w:rPr>
      </w:pPr>
      <w:bookmarkStart w:colFirst="0" w:colLast="0" w:name="_30j0zll" w:id="1"/>
      <w:bookmarkEnd w:id="1"/>
      <w:r w:rsidDel="00000000" w:rsidR="00000000" w:rsidRPr="00000000">
        <w:rPr>
          <w:rFonts w:ascii="Arial" w:cs="Arial" w:eastAsia="Arial" w:hAnsi="Arial"/>
          <w:b w:val="1"/>
          <w:sz w:val="22"/>
          <w:szCs w:val="22"/>
          <w:rtl w:val="0"/>
        </w:rPr>
        <w:t xml:space="preserve">Our Vision and Curriculum Ambition</w:t>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spacing w:after="160" w:before="40" w:lineRule="auto"/>
        <w:jc w:val="both"/>
        <w:rPr>
          <w:rFonts w:ascii="Arial" w:cs="Arial" w:eastAsia="Arial" w:hAnsi="Arial"/>
          <w:i w:val="1"/>
          <w:color w:val="1f497d"/>
          <w:sz w:val="22"/>
          <w:szCs w:val="22"/>
        </w:rPr>
      </w:pPr>
      <w:r w:rsidDel="00000000" w:rsidR="00000000" w:rsidRPr="00000000">
        <w:rPr>
          <w:rFonts w:ascii="Arial" w:cs="Arial" w:eastAsia="Arial" w:hAnsi="Arial"/>
          <w:i w:val="1"/>
          <w:color w:val="1f497d"/>
          <w:sz w:val="22"/>
          <w:szCs w:val="22"/>
          <w:rtl w:val="0"/>
        </w:rPr>
        <w:t xml:space="preserve">The MFL PGCE course is designed for trainees to develop into effective practitioners: resilient, reflective and profession-ready, they think and act as flexible, dynamic and creative professionals, who are confident ‘risk-takers’ based on research-informed practice and encourage students to develop a love for languages.</w:t>
      </w:r>
    </w:p>
    <w:sectPr>
      <w:headerReference r:id="rId7" w:type="default"/>
      <w:pgSz w:h="16838" w:w="11906" w:orient="portrait"/>
      <w:pgMar w:bottom="1021" w:top="1134" w:left="1134" w:right="124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1143000</wp:posOffset>
          </wp:positionH>
          <wp:positionV relativeFrom="paragraph">
            <wp:posOffset>-201285</wp:posOffset>
          </wp:positionV>
          <wp:extent cx="496570" cy="415925"/>
          <wp:effectExtent b="22869" l="18812" r="18812" t="22869"/>
          <wp:wrapSquare wrapText="bothSides" distB="0" distT="0" distL="114300" distR="114300"/>
          <wp:docPr id="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rot="21269555">
                    <a:off x="0" y="0"/>
                    <a:ext cx="496570" cy="4159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192405</wp:posOffset>
          </wp:positionH>
          <wp:positionV relativeFrom="paragraph">
            <wp:posOffset>-213358</wp:posOffset>
          </wp:positionV>
          <wp:extent cx="375920" cy="300990"/>
          <wp:effectExtent b="36506" l="27688" r="27688" t="36506"/>
          <wp:wrapSquare wrapText="bothSides" distB="0" distT="0" distL="114300" distR="114300"/>
          <wp:docPr descr="\\userfs\mbbw500\w2k\My Pictures\Flags\Germany 2.png" id="3" name="image2.png"/>
          <a:graphic>
            <a:graphicData uri="http://schemas.openxmlformats.org/drawingml/2006/picture">
              <pic:pic>
                <pic:nvPicPr>
                  <pic:cNvPr descr="\\userfs\mbbw500\w2k\My Pictures\Flags\Germany 2.png" id="0" name="image2.png"/>
                  <pic:cNvPicPr preferRelativeResize="0"/>
                </pic:nvPicPr>
                <pic:blipFill>
                  <a:blip r:embed="rId2"/>
                  <a:srcRect b="0" l="0" r="0" t="0"/>
                  <a:stretch>
                    <a:fillRect/>
                  </a:stretch>
                </pic:blipFill>
                <pic:spPr>
                  <a:xfrm rot="11536175">
                    <a:off x="0" y="0"/>
                    <a:ext cx="375920" cy="3009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2204085</wp:posOffset>
          </wp:positionH>
          <wp:positionV relativeFrom="paragraph">
            <wp:posOffset>-238124</wp:posOffset>
          </wp:positionV>
          <wp:extent cx="579755" cy="399415"/>
          <wp:effectExtent b="0" l="0" r="0" t="0"/>
          <wp:wrapSquare wrapText="bothSides" distB="0" distT="0" distL="114300" distR="114300"/>
          <wp:docPr descr="\\userfs\mbbw500\w2k\My Pictures\Flags\Spain 2.jpg" id="7" name="image5.jpg"/>
          <a:graphic>
            <a:graphicData uri="http://schemas.openxmlformats.org/drawingml/2006/picture">
              <pic:pic>
                <pic:nvPicPr>
                  <pic:cNvPr descr="\\userfs\mbbw500\w2k\My Pictures\Flags\Spain 2.jpg" id="0" name="image5.jpg"/>
                  <pic:cNvPicPr preferRelativeResize="0"/>
                </pic:nvPicPr>
                <pic:blipFill>
                  <a:blip r:embed="rId3"/>
                  <a:srcRect b="0" l="0" r="0" t="0"/>
                  <a:stretch>
                    <a:fillRect/>
                  </a:stretch>
                </pic:blipFill>
                <pic:spPr>
                  <a:xfrm>
                    <a:off x="0" y="0"/>
                    <a:ext cx="579755" cy="3994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3393440</wp:posOffset>
          </wp:positionH>
          <wp:positionV relativeFrom="paragraph">
            <wp:posOffset>-228599</wp:posOffset>
          </wp:positionV>
          <wp:extent cx="405130" cy="377825"/>
          <wp:effectExtent b="0" l="0" r="0" t="0"/>
          <wp:wrapSquare wrapText="bothSides" distB="0" distT="0" distL="114300" distR="114300"/>
          <wp:docPr id="1" name="image7.png"/>
          <a:graphic>
            <a:graphicData uri="http://schemas.openxmlformats.org/drawingml/2006/picture">
              <pic:pic>
                <pic:nvPicPr>
                  <pic:cNvPr id="0" name="image7.png"/>
                  <pic:cNvPicPr preferRelativeResize="0"/>
                </pic:nvPicPr>
                <pic:blipFill>
                  <a:blip r:embed="rId4"/>
                  <a:srcRect b="0" l="0" r="0" t="0"/>
                  <a:stretch>
                    <a:fillRect/>
                  </a:stretch>
                </pic:blipFill>
                <pic:spPr>
                  <a:xfrm rot="10800000">
                    <a:off x="0" y="0"/>
                    <a:ext cx="405130" cy="3778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4413885</wp:posOffset>
          </wp:positionH>
          <wp:positionV relativeFrom="paragraph">
            <wp:posOffset>-248283</wp:posOffset>
          </wp:positionV>
          <wp:extent cx="542290" cy="463550"/>
          <wp:effectExtent b="0" l="0" r="0" t="0"/>
          <wp:wrapSquare wrapText="bothSides" distB="0" distT="0" distL="114300" distR="114300"/>
          <wp:docPr id="5" name="image6.png"/>
          <a:graphic>
            <a:graphicData uri="http://schemas.openxmlformats.org/drawingml/2006/picture">
              <pic:pic>
                <pic:nvPicPr>
                  <pic:cNvPr id="0" name="image6.png"/>
                  <pic:cNvPicPr preferRelativeResize="0"/>
                </pic:nvPicPr>
                <pic:blipFill>
                  <a:blip r:embed="rId5"/>
                  <a:srcRect b="0" l="0" r="0" t="0"/>
                  <a:stretch>
                    <a:fillRect/>
                  </a:stretch>
                </pic:blipFill>
                <pic:spPr>
                  <a:xfrm>
                    <a:off x="0" y="0"/>
                    <a:ext cx="542290" cy="4635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5442585</wp:posOffset>
          </wp:positionH>
          <wp:positionV relativeFrom="paragraph">
            <wp:posOffset>-180974</wp:posOffset>
          </wp:positionV>
          <wp:extent cx="579120" cy="396240"/>
          <wp:effectExtent b="0" l="0" r="0" t="0"/>
          <wp:wrapSquare wrapText="bothSides" distB="0" distT="0" distL="114300" distR="114300"/>
          <wp:docPr id="6"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79120" cy="3962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rFonts w:ascii="Noto Sans Symbols" w:cs="Noto Sans Symbols" w:eastAsia="Noto Sans Symbols" w:hAnsi="Noto Sans Symbols"/>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080" w:hanging="360"/>
      </w:pPr>
      <w:rPr>
        <w:rFonts w:ascii="Noto Sans Symbols" w:cs="Noto Sans Symbols" w:eastAsia="Noto Sans Symbols" w:hAnsi="Noto Sans Symbols"/>
        <w:sz w:val="24"/>
        <w:szCs w:val="24"/>
      </w:rPr>
    </w:lvl>
    <w:lvl w:ilvl="1">
      <w:start w:val="1"/>
      <w:numFmt w:val="bullet"/>
      <w:lvlText w:val="▪"/>
      <w:lvlJc w:val="left"/>
      <w:pPr>
        <w:ind w:left="1800" w:hanging="360"/>
      </w:pPr>
      <w:rPr>
        <w:rFonts w:ascii="Noto Sans Symbols" w:cs="Noto Sans Symbols" w:eastAsia="Noto Sans Symbols" w:hAnsi="Noto Sans Symbols"/>
        <w:sz w:val="24"/>
        <w:szCs w:val="24"/>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4"/>
      <w:numFmt w:val="decimal"/>
      <w:lvlText w:val="%1."/>
      <w:lvlJc w:val="left"/>
      <w:pPr>
        <w:ind w:left="765" w:hanging="360"/>
      </w:pPr>
      <w:rPr>
        <w:b w:val="1"/>
        <w:color w:val="000000"/>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5">
    <w:lvl w:ilvl="0">
      <w:start w:val="1"/>
      <w:numFmt w:val="decimal"/>
      <w:lvlText w:val="%1."/>
      <w:lvlJc w:val="left"/>
      <w:pPr>
        <w:ind w:left="-699" w:firstLine="368.99999999999994"/>
      </w:pPr>
      <w:rPr/>
    </w:lvl>
    <w:lvl w:ilvl="1">
      <w:start w:val="1"/>
      <w:numFmt w:val="lowerLetter"/>
      <w:lvlText w:val="%2."/>
      <w:lvlJc w:val="left"/>
      <w:pPr>
        <w:ind w:left="21" w:firstLine="1089"/>
      </w:pPr>
      <w:rPr/>
    </w:lvl>
    <w:lvl w:ilvl="2">
      <w:start w:val="1"/>
      <w:numFmt w:val="lowerRoman"/>
      <w:lvlText w:val="%3."/>
      <w:lvlJc w:val="right"/>
      <w:pPr>
        <w:ind w:left="741" w:firstLine="1809"/>
      </w:pPr>
      <w:rPr/>
    </w:lvl>
    <w:lvl w:ilvl="3">
      <w:start w:val="1"/>
      <w:numFmt w:val="decimal"/>
      <w:lvlText w:val="%4."/>
      <w:lvlJc w:val="left"/>
      <w:pPr>
        <w:ind w:left="1461" w:firstLine="2529"/>
      </w:pPr>
      <w:rPr/>
    </w:lvl>
    <w:lvl w:ilvl="4">
      <w:start w:val="1"/>
      <w:numFmt w:val="lowerLetter"/>
      <w:lvlText w:val="%5."/>
      <w:lvlJc w:val="left"/>
      <w:pPr>
        <w:ind w:left="2181" w:firstLine="3249"/>
      </w:pPr>
      <w:rPr/>
    </w:lvl>
    <w:lvl w:ilvl="5">
      <w:start w:val="1"/>
      <w:numFmt w:val="lowerRoman"/>
      <w:lvlText w:val="%6."/>
      <w:lvlJc w:val="right"/>
      <w:pPr>
        <w:ind w:left="2901" w:firstLine="3969"/>
      </w:pPr>
      <w:rPr/>
    </w:lvl>
    <w:lvl w:ilvl="6">
      <w:start w:val="1"/>
      <w:numFmt w:val="decimal"/>
      <w:lvlText w:val="%7."/>
      <w:lvlJc w:val="left"/>
      <w:pPr>
        <w:ind w:left="3621" w:firstLine="4689"/>
      </w:pPr>
      <w:rPr/>
    </w:lvl>
    <w:lvl w:ilvl="7">
      <w:start w:val="1"/>
      <w:numFmt w:val="lowerLetter"/>
      <w:lvlText w:val="%8."/>
      <w:lvlJc w:val="left"/>
      <w:pPr>
        <w:ind w:left="4341" w:firstLine="5409"/>
      </w:pPr>
      <w:rPr/>
    </w:lvl>
    <w:lvl w:ilvl="8">
      <w:start w:val="1"/>
      <w:numFmt w:val="lowerRoman"/>
      <w:lvlText w:val="%9."/>
      <w:lvlJc w:val="right"/>
      <w:pPr>
        <w:ind w:left="5061" w:firstLine="6129"/>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 Id="rId3" Type="http://schemas.openxmlformats.org/officeDocument/2006/relationships/image" Target="media/image5.jpg"/><Relationship Id="rId4" Type="http://schemas.openxmlformats.org/officeDocument/2006/relationships/image" Target="media/image7.png"/><Relationship Id="rId5" Type="http://schemas.openxmlformats.org/officeDocument/2006/relationships/image" Target="media/image6.png"/><Relationship Id="rId6"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